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RONPA0144ZPB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1"/>
          <w:iCs w:val="1"/>
          <w:smallCaps w:val="0"/>
          <w:strike w:val="0"/>
          <w:color w:val="80808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808080"/>
          <w:sz w:val="20"/>
          <w:szCs w:val="20"/>
          <w:u w:val="none"/>
          <w:shd w:fill="auto" w:val="clear"/>
          <w:vertAlign w:val="baseline"/>
          <w:rtl w:val="0"/>
        </w:rPr>
        <w:t xml:space="preserve">*Codare temporară, aceasta va fi actualizată conform specificațiilor de raportare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Codrul Secular Runc</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1.3. Încadrarea ZPB în: </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1043786410"/>
          <w:tag w:val="goog_rdk_0"/>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Arie naturală protejată</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66912059"/>
          <w:tag w:val="goog_rdk_1"/>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2121452391"/>
          <w:tag w:val="goog_rdk_2"/>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Zonă potențială care să devină arie naturală protejată</w:t>
      </w:r>
      <w:r w:rsidDel="00000000" w:rsidR="00000000" w:rsidRPr="00000000">
        <w:rPr>
          <w:rtl w:val="0"/>
        </w:rPr>
      </w:r>
    </w:p>
    <w:tbl>
      <w:tblPr>
        <w:tblStyle w:val="Table1"/>
        <w:tblW w:w="8980.0" w:type="dxa"/>
        <w:jc w:val="left"/>
        <w:tblInd w:w="-98.0" w:type="dxa"/>
        <w:tblLayout w:type="fixed"/>
        <w:tblLook w:val="0400"/>
      </w:tblPr>
      <w:tblGrid>
        <w:gridCol w:w="4491"/>
        <w:gridCol w:w="4489"/>
        <w:tblGridChange w:id="0">
          <w:tblGrid>
            <w:gridCol w:w="4491"/>
            <w:gridCol w:w="4489"/>
          </w:tblGrid>
        </w:tblGridChange>
      </w:tblGrid>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1.4. Data completării</w:t>
            </w:r>
            <w:r w:rsidDel="00000000" w:rsidR="00000000" w:rsidRPr="00000000">
              <w:rPr>
                <w:rtl w:val="0"/>
              </w:rPr>
            </w:r>
          </w:p>
        </w:tc>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2"/>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r>
          </w:tbl>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3"/>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1.6. Responsabili</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1.7. Datele indicării și desemnării ca ZPB</w:t>
      </w:r>
      <w:r w:rsidDel="00000000" w:rsidR="00000000" w:rsidRPr="00000000">
        <w:rPr>
          <w:rtl w:val="0"/>
        </w:rPr>
      </w:r>
    </w:p>
    <w:tbl>
      <w:tblPr>
        <w:tblStyle w:val="Table4"/>
        <w:tblW w:w="8980.0" w:type="dxa"/>
        <w:jc w:val="left"/>
        <w:tblInd w:w="-98.0" w:type="dxa"/>
        <w:tblLayout w:type="fixed"/>
        <w:tblLook w:val="0400"/>
      </w:tblPr>
      <w:tblGrid>
        <w:gridCol w:w="4454"/>
        <w:gridCol w:w="4526"/>
        <w:tblGridChange w:id="0">
          <w:tblGrid>
            <w:gridCol w:w="4454"/>
            <w:gridCol w:w="4526"/>
          </w:tblGrid>
        </w:tblGridChange>
      </w:tblGrid>
      <w:tr>
        <w:trPr>
          <w:cantSplit w:val="0"/>
          <w:tblHeader w:val="0"/>
        </w:trPr>
        <w:tc>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Data desemnării ca ZPB:</w:t>
            </w:r>
            <w:r w:rsidDel="00000000" w:rsidR="00000000" w:rsidRPr="00000000">
              <w:rPr>
                <w:rtl w:val="0"/>
              </w:rPr>
            </w:r>
          </w:p>
        </w:tc>
        <w:tc>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r>
          </w:tbl>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1"/>
          <w:bCs w:val="1"/>
          <w:sz w:val="22"/>
          <w:szCs w:val="22"/>
          <w:rtl w:val="0"/>
        </w:rPr>
        <w:t xml:space="preserve">2.1.</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55,80</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93,57%</w:t>
      </w: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2.3. Încadrarea ZPB în regiunile administrative</w:t>
      </w:r>
      <w:r w:rsidDel="00000000" w:rsidR="00000000" w:rsidRPr="00000000">
        <w:rPr>
          <w:rtl w:val="0"/>
        </w:rPr>
      </w:r>
    </w:p>
    <w:tbl>
      <w:tblPr>
        <w:tblStyle w:val="Table6"/>
        <w:tblW w:w="8980.0" w:type="dxa"/>
        <w:jc w:val="left"/>
        <w:tblInd w:w="-98.0" w:type="dxa"/>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NUTS</w:t>
            </w:r>
            <w:r w:rsidDel="00000000" w:rsidR="00000000" w:rsidRPr="00000000">
              <w:rPr>
                <w:rtl w:val="0"/>
              </w:rPr>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RO21</w:t>
            </w:r>
            <w:r w:rsidDel="00000000" w:rsidR="00000000" w:rsidRPr="00000000">
              <w:rPr>
                <w:rtl w:val="0"/>
              </w:rPr>
            </w:r>
          </w:p>
        </w:tc>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Nord-Est</w:t>
            </w:r>
            <w:r w:rsidDel="00000000" w:rsidR="00000000" w:rsidRPr="00000000">
              <w:rPr>
                <w:rtl w:val="0"/>
              </w:rPr>
            </w:r>
          </w:p>
        </w:tc>
      </w:tr>
    </w:tbl>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Numele Județului/Județelor</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Bacău, Neamț</w:t>
      </w: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2.4. Încadrarea ZPB în regiunile biogeografice </w:t>
      </w:r>
      <w:r w:rsidDel="00000000" w:rsidR="00000000" w:rsidRPr="00000000">
        <w:rPr>
          <w:rtl w:val="0"/>
        </w:rPr>
      </w:r>
    </w:p>
    <w:tbl>
      <w:tblPr>
        <w:tblStyle w:val="Table7"/>
        <w:tblW w:w="8980.000000000002" w:type="dxa"/>
        <w:jc w:val="left"/>
        <w:tblInd w:w="-98.0" w:type="dxa"/>
        <w:tblLayout w:type="fixed"/>
        <w:tblLook w:val="0400"/>
      </w:tblPr>
      <w:tblGrid>
        <w:gridCol w:w="2805"/>
        <w:gridCol w:w="236"/>
        <w:gridCol w:w="2873"/>
        <w:gridCol w:w="236"/>
        <w:gridCol w:w="2830"/>
        <w:tblGridChange w:id="0">
          <w:tblGrid>
            <w:gridCol w:w="2805"/>
            <w:gridCol w:w="236"/>
            <w:gridCol w:w="2873"/>
            <w:gridCol w:w="236"/>
            <w:gridCol w:w="2830"/>
          </w:tblGrid>
        </w:tblGridChange>
      </w:tblGrid>
      <w:tr>
        <w:trPr>
          <w:cantSplit w:val="0"/>
          <w:tblHeader w:val="0"/>
        </w:trPr>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2077448438"/>
                <w:tag w:val="goog_rdk_3"/>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Alpină %</w:t>
            </w:r>
            <w:r w:rsidDel="00000000" w:rsidR="00000000" w:rsidRPr="00000000">
              <w:rPr>
                <w:rtl w:val="0"/>
              </w:rPr>
            </w:r>
          </w:p>
        </w:tc>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Continentală 100%</w:t>
            </w:r>
            <w:r w:rsidDel="00000000" w:rsidR="00000000" w:rsidRPr="00000000">
              <w:rPr>
                <w:rtl w:val="0"/>
              </w:rPr>
            </w:r>
          </w:p>
        </w:tc>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2004113821"/>
                <w:tag w:val="goog_rdk_4"/>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1837462288"/>
                <w:tag w:val="goog_rdk_5"/>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Stepică %</w:t>
            </w:r>
            <w:r w:rsidDel="00000000" w:rsidR="00000000" w:rsidRPr="00000000">
              <w:rPr>
                <w:rtl w:val="0"/>
              </w:rPr>
            </w:r>
          </w:p>
        </w:tc>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1177490171"/>
                <w:tag w:val="goog_rdk_6"/>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Pontică %</w:t>
            </w:r>
            <w:r w:rsidDel="00000000" w:rsidR="00000000" w:rsidRPr="00000000">
              <w:rPr>
                <w:rtl w:val="0"/>
              </w:rPr>
            </w:r>
          </w:p>
        </w:tc>
        <w:tc>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1249851412"/>
                <w:tag w:val="goog_rdk_7"/>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Marea Neagră %</w:t>
            </w:r>
            <w:r w:rsidDel="00000000" w:rsidR="00000000" w:rsidRPr="00000000">
              <w:rPr>
                <w:rtl w:val="0"/>
              </w:rPr>
            </w:r>
          </w:p>
        </w:tc>
      </w:tr>
    </w:tbl>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 Descrierea Zonelor Prioritare pentru Biodiversitate distincte 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pe teritoriul ariei naturale protejate</w:t>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55,80</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Hotărârea Guvernului nr. 2.151/2004 privind instituirea regimului de arie naturală protejată pentru noi zone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Rezervația naturală RONPA0144 Codrul Secular Runc.                              </w:t>
      </w:r>
    </w:p>
    <w:p w:rsidR="00000000" w:rsidDel="00000000" w:rsidP="00000000" w:rsidRDefault="00000000" w:rsidRPr="00000000" w14:paraId="00000067">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230/2016 privind aprobarea Planului de management al Rezervaţiei Naturale Codrul secular Runc.</w:t>
      </w:r>
    </w:p>
    <w:p w:rsidR="00000000" w:rsidDel="00000000" w:rsidP="00000000" w:rsidRDefault="00000000" w:rsidRPr="00000000" w14:paraId="00000068">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9">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r w:rsidDel="00000000" w:rsidR="00000000" w:rsidRPr="00000000">
        <w:rPr>
          <w:rtl w:val="0"/>
        </w:rPr>
      </w:r>
    </w:p>
    <w:tbl>
      <w:tblPr>
        <w:tblStyle w:val="Table8"/>
        <w:tblW w:w="8964.0" w:type="dxa"/>
        <w:jc w:val="left"/>
        <w:tblInd w:w="-97.00000000000001" w:type="dxa"/>
        <w:tblLayout w:type="fixed"/>
        <w:tblLook w:val="0000"/>
      </w:tblPr>
      <w:tblGrid>
        <w:gridCol w:w="2649"/>
        <w:gridCol w:w="6315"/>
        <w:tblGridChange w:id="0">
          <w:tblGrid>
            <w:gridCol w:w="2649"/>
            <w:gridCol w:w="631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Habitate de Păduri temperate europene</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9130 Păduri de fag de tip Asperulo-Fagetum </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Habitate de interes națioanl</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R4118 Păduri dacice de fag (Fagus sylvatica) şi carpen (Carpinus betulus) cu Dentaria bulbifera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Amfibieni și reptile</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i w:val="1"/>
                <w:iCs w:val="1"/>
                <w:sz w:val="22"/>
                <w:szCs w:val="22"/>
                <w:rtl w:val="0"/>
              </w:rPr>
              <w:t xml:space="preserve">2361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Bufo bufo </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6091 Zamenis longissimus</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Mamifere</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2644 Capreolus capreolus </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2645 Cervus elaphus </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2631 Meles meles </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5861 Sus scrofa </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5906 Vulpes vulpes </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Nevertebrate </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Carabus linnei </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Platiynus assimilis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Zona prezintă o valoare ecologică ridicată indusă de prezența habitatelor naturale bine conservate și a speciilor de interes conservativ, contribuind semnificativ la menținerea biodiversității, la stocarea carbonului și la reglarea regimului hidrologic, cu rol important în combaterea efectelor schimbărilor climatice.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Zona cuprinde și habitate de interes național - R4118 Păduri dacice de fag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Fagus sylvatica</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şi carpen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Carpinus betulus</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Dentaria bulbifera.</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Desemnarea ca ZPB se fundamentează pe criteriul stabilit de metodologie pentru rezervațiile naturale, precum și pe valoarea ecologică ridicată indusă de prezența habitatelor și speciilor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I01 specii invazive non-native (alogene)           </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B02 Gestionarea și utilizarea pădurii și plantației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8A">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C">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2">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Publică </w:t>
            </w:r>
            <w:r w:rsidDel="00000000" w:rsidR="00000000" w:rsidRPr="00000000">
              <w:rPr>
                <w:rtl w:val="0"/>
              </w:rPr>
            </w:r>
          </w:p>
        </w:tc>
      </w:tr>
    </w:tbl>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3.3. Bibliografie </w:t>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omj01z5gxcqp"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 Ed. Academiei R.S.R., Bucuresti,                                                                       </w:t>
      </w:r>
    </w:p>
    <w:p w:rsidR="00000000" w:rsidDel="00000000" w:rsidP="00000000" w:rsidRDefault="00000000" w:rsidRPr="00000000" w14:paraId="0000009E">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                                                                                                         </w:t>
      </w:r>
    </w:p>
    <w:p w:rsidR="00000000" w:rsidDel="00000000" w:rsidP="00000000" w:rsidRDefault="00000000" w:rsidRPr="00000000" w14:paraId="0000009F">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Comanescu M., Mihailescu S., 2005 - Habitatele din Romania” – Biris I., Editura Tehnica Silvica, Bucuresti,                                                                    </w:t>
      </w:r>
    </w:p>
    <w:p w:rsidR="00000000" w:rsidDel="00000000" w:rsidP="00000000" w:rsidRDefault="00000000" w:rsidRPr="00000000" w14:paraId="000000A0">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“Manual de interpretare a habitatelor Natura 2000 din Romania”, Ed. RISOPRINT, editor M.M.D.D.</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4. Consultări publice cu privire la desemnarea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Zonelor Prioritare pentru Biodiversitate</w:t>
      </w: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Detalii privind consultările publice realizate:</w:t>
      </w: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dh0yi3kvcg0j" w:id="1"/>
      <w:bookmarkEnd w:id="1"/>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18 martie 2025 - Piatra-Neamț, 17 martie 2025 – Bacău,  16 decembrie 2024 – DS Neamț, 4 aprilie 2025 – DS Bacău.</w:t>
      </w:r>
    </w:p>
    <w:p w:rsidR="00000000" w:rsidDel="00000000" w:rsidP="00000000" w:rsidRDefault="00000000" w:rsidRPr="00000000" w14:paraId="000000A5">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 14 ianuarie 2026 (Neamț) și 23 ianuarie 2026 (Bacău) cu participarea factorilor interesați relevanți din județele Bacău și Neamț.</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5. Harta Zonelor Prioritare pentru Biodiversitate</w:t>
      </w: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4"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Limitele Zonelor Prioritare pentru Biodiversitate sunt disponibile în format digital:</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Link: </w:t>
      </w:r>
      <w:hyperlink r:id="rId7">
        <w:r w:rsidDel="00000000" w:rsidR="00000000" w:rsidRPr="00000000">
          <w:rPr>
            <w:rFonts w:ascii="Aptos" w:cs="Aptos" w:eastAsia="Aptos" w:hAnsi="Aptos"/>
            <w:b w:val="0"/>
            <w:bCs w:val="0"/>
            <w:i w:val="0"/>
            <w:iCs w:val="0"/>
            <w:smallCaps w:val="0"/>
            <w:strike w:val="0"/>
            <w:color w:val="467886"/>
            <w:sz w:val="24"/>
            <w:szCs w:val="24"/>
            <w:u w:val="single"/>
            <w:shd w:fill="auto" w:val="clear"/>
            <w:vertAlign w:val="baseline"/>
            <w:rtl w:val="0"/>
          </w:rPr>
          <w:t xml:space="preserve">https://mmediu.ro/domenii/mediu/arii-naturale-protejate/zpb-pnrr-i-3/</w:t>
        </w:r>
      </w:hyperlink>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Apto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Calibri" w:cs="Calibri" w:eastAsia="Calibri" w:hAnsi="Calibri"/>
      <w:b w:val="0"/>
      <w:bCs w:val="0"/>
      <w:i w:val="0"/>
      <w:iCs w:val="0"/>
      <w:smallCaps w:val="0"/>
      <w:strike w:val="0"/>
      <w:color w:val="2f5496"/>
      <w:sz w:val="40"/>
      <w:szCs w:val="40"/>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160" w:line="240" w:lineRule="auto"/>
      <w:ind w:left="0" w:right="0" w:firstLine="0"/>
      <w:jc w:val="left"/>
    </w:pPr>
    <w:rPr>
      <w:rFonts w:ascii="Calibri" w:cs="Calibri" w:eastAsia="Calibri" w:hAnsi="Calibri"/>
      <w:b w:val="0"/>
      <w:bCs w:val="0"/>
      <w:i w:val="0"/>
      <w:iCs w:val="0"/>
      <w:smallCaps w:val="0"/>
      <w:strike w:val="0"/>
      <w:color w:val="2f5496"/>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160" w:line="240" w:lineRule="auto"/>
      <w:ind w:left="0" w:right="0" w:firstLine="0"/>
      <w:jc w:val="left"/>
    </w:pPr>
    <w:rPr>
      <w:rFonts w:ascii="Calibri" w:cs="Calibri" w:eastAsia="Calibri" w:hAnsi="Calibri"/>
      <w:b w:val="0"/>
      <w:bCs w:val="0"/>
      <w:i w:val="0"/>
      <w:iCs w:val="0"/>
      <w:smallCaps w:val="0"/>
      <w:strike w:val="0"/>
      <w:color w:val="2f5496"/>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80" w:line="240" w:lineRule="auto"/>
      <w:ind w:left="0" w:right="0" w:firstLine="0"/>
      <w:jc w:val="left"/>
    </w:pPr>
    <w:rPr>
      <w:rFonts w:ascii="Calibri" w:cs="Calibri" w:eastAsia="Calibri" w:hAnsi="Calibri"/>
      <w:b w:val="0"/>
      <w:bCs w:val="0"/>
      <w:i w:val="1"/>
      <w:iCs w:val="1"/>
      <w:smallCaps w:val="0"/>
      <w:strike w:val="0"/>
      <w:color w:val="2f5496"/>
      <w:sz w:val="22"/>
      <w:szCs w:val="22"/>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80" w:line="240" w:lineRule="auto"/>
      <w:ind w:left="0" w:right="0" w:firstLine="0"/>
      <w:jc w:val="left"/>
    </w:pPr>
    <w:rPr>
      <w:rFonts w:ascii="Calibri" w:cs="Calibri" w:eastAsia="Calibri" w:hAnsi="Calibri"/>
      <w:b w:val="0"/>
      <w:bCs w:val="0"/>
      <w:i w:val="0"/>
      <w:iCs w:val="0"/>
      <w:smallCaps w:val="0"/>
      <w:strike w:val="0"/>
      <w:color w:val="2f5496"/>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Calibri" w:cs="Calibri" w:eastAsia="Calibri" w:hAnsi="Calibri"/>
      <w:b w:val="0"/>
      <w:bCs w:val="0"/>
      <w:i w:val="1"/>
      <w:iCs w:val="1"/>
      <w:smallCaps w:val="0"/>
      <w:strike w:val="0"/>
      <w:color w:val="595959"/>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40" w:lineRule="auto"/>
      <w:ind w:left="0" w:right="0" w:firstLine="0"/>
      <w:jc w:val="left"/>
    </w:pPr>
    <w:rPr>
      <w:rFonts w:ascii="Calibri" w:cs="Calibri" w:eastAsia="Calibri" w:hAnsi="Calibri"/>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pPr>
    <w:rPr>
      <w:rFonts w:ascii="Calibri" w:cs="Calibri" w:eastAsia="Calibri" w:hAnsi="Calibri"/>
      <w:b w:val="0"/>
      <w:bCs w:val="0"/>
      <w:i w:val="0"/>
      <w:iCs w:val="0"/>
      <w:smallCaps w:val="0"/>
      <w:strike w:val="0"/>
      <w:color w:val="595959"/>
      <w:sz w:val="28"/>
      <w:szCs w:val="2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ycSsmZHNRpmqZsslLs+KM/fxW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Mg5oLm9tajAxejVneGNxcDIOaC5kaDB5aTNrdmNnMGo4AHIhMW5RczNiN3FXOVFxd2dHNk9nNlZnVExMSFNKa0ROQl9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